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85" w:type="dxa"/>
        <w:tblInd w:w="108" w:type="dxa"/>
        <w:tblLook w:val="0000" w:firstRow="0" w:lastRow="0" w:firstColumn="0" w:lastColumn="0" w:noHBand="0" w:noVBand="0"/>
      </w:tblPr>
      <w:tblGrid>
        <w:gridCol w:w="4428"/>
        <w:gridCol w:w="11057"/>
      </w:tblGrid>
      <w:tr w:rsidR="00EB7CFE" w:rsidRPr="006F4E50" w14:paraId="0F9E8EEE" w14:textId="77777777" w:rsidTr="00561D50">
        <w:trPr>
          <w:trHeight w:hRule="exact" w:val="851"/>
        </w:trPr>
        <w:tc>
          <w:tcPr>
            <w:tcW w:w="4428" w:type="dxa"/>
          </w:tcPr>
          <w:p w14:paraId="49907EF1" w14:textId="77777777" w:rsidR="00EB7CFE" w:rsidRPr="00FF57FA" w:rsidRDefault="00EB7CFE" w:rsidP="00561D50">
            <w:pPr>
              <w:tabs>
                <w:tab w:val="left" w:pos="5580"/>
              </w:tabs>
              <w:snapToGrid w:val="0"/>
              <w:spacing w:before="60" w:after="0" w:line="240" w:lineRule="auto"/>
              <w:jc w:val="center"/>
              <w:rPr>
                <w:rFonts w:eastAsia="Calibri" w:cs="Times New Roman"/>
                <w:b/>
                <w:bCs/>
                <w:sz w:val="26"/>
                <w:szCs w:val="26"/>
                <w:lang w:val="pt-BR"/>
              </w:rPr>
            </w:pPr>
            <w:r w:rsidRPr="00FF57FA">
              <w:rPr>
                <w:rFonts w:eastAsia="Calibri" w:cs="Times New Roman"/>
                <w:b/>
                <w:bCs/>
                <w:sz w:val="26"/>
                <w:szCs w:val="26"/>
                <w:lang w:val="pt-BR"/>
              </w:rPr>
              <w:t>ỦY BAN NHÂN DÂN</w:t>
            </w:r>
          </w:p>
          <w:p w14:paraId="4762BDEA" w14:textId="77777777" w:rsidR="00EB7CFE" w:rsidRPr="00FF57FA" w:rsidRDefault="00EB7CFE" w:rsidP="00561D50">
            <w:pPr>
              <w:tabs>
                <w:tab w:val="left" w:pos="5580"/>
              </w:tabs>
              <w:spacing w:before="60" w:after="0" w:line="240" w:lineRule="auto"/>
              <w:jc w:val="center"/>
              <w:rPr>
                <w:rFonts w:eastAsia="Calibri" w:cs="Times New Roman"/>
                <w:b/>
                <w:bCs/>
                <w:sz w:val="26"/>
                <w:szCs w:val="26"/>
                <w:lang w:val="pt-BR"/>
              </w:rPr>
            </w:pPr>
            <w:r w:rsidRPr="00FF57FA">
              <w:rPr>
                <w:rFonts w:eastAsia="Calibri" w:cs="Times New Roman"/>
                <w:b/>
                <w:bCs/>
                <w:sz w:val="26"/>
                <w:szCs w:val="26"/>
                <w:lang w:val="pt-BR"/>
              </w:rPr>
              <w:t>TỈNH BẮC NINH</w:t>
            </w:r>
          </w:p>
          <w:p w14:paraId="321C9619" w14:textId="77777777" w:rsidR="00EB7CFE" w:rsidRPr="00FF57FA" w:rsidRDefault="00EB7CFE" w:rsidP="00561D50">
            <w:pPr>
              <w:tabs>
                <w:tab w:val="left" w:pos="5580"/>
              </w:tabs>
              <w:spacing w:before="60" w:after="0" w:line="240" w:lineRule="auto"/>
              <w:jc w:val="center"/>
              <w:rPr>
                <w:rFonts w:eastAsia="Calibri" w:cs="Times New Roman"/>
                <w:b/>
                <w:bCs/>
                <w:sz w:val="26"/>
                <w:szCs w:val="26"/>
                <w:lang w:val="pt-BR"/>
              </w:rPr>
            </w:pPr>
            <w:r w:rsidRPr="00FF57FA">
              <w:rPr>
                <w:rFonts w:eastAsia="Times New Roman" w:cs="Times New Roman"/>
                <w:b/>
                <w:bCs/>
                <w:noProof/>
                <w:sz w:val="26"/>
                <w:szCs w:val="26"/>
              </w:rPr>
              <mc:AlternateContent>
                <mc:Choice Requires="wps">
                  <w:drawing>
                    <wp:anchor distT="4294967294" distB="4294967294" distL="114300" distR="114300" simplePos="0" relativeHeight="251660288" behindDoc="0" locked="0" layoutInCell="1" allowOverlap="1" wp14:anchorId="47EEDE0B" wp14:editId="31C929F5">
                      <wp:simplePos x="0" y="0"/>
                      <wp:positionH relativeFrom="column">
                        <wp:posOffset>939800</wp:posOffset>
                      </wp:positionH>
                      <wp:positionV relativeFrom="paragraph">
                        <wp:posOffset>26670</wp:posOffset>
                      </wp:positionV>
                      <wp:extent cx="707390" cy="0"/>
                      <wp:effectExtent l="0" t="0" r="0" b="0"/>
                      <wp:wrapNone/>
                      <wp:docPr id="1"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912AFD" id="Đường nối Thẳng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pt,2.1pt" to="129.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" strokeweight=".26mm">
                      <v:stroke joinstyle="miter"/>
                    </v:line>
                  </w:pict>
                </mc:Fallback>
              </mc:AlternateContent>
            </w:r>
          </w:p>
        </w:tc>
        <w:tc>
          <w:tcPr>
            <w:tcW w:w="11057" w:type="dxa"/>
          </w:tcPr>
          <w:p w14:paraId="0DB6F9A1" w14:textId="77777777" w:rsidR="00EB7CFE" w:rsidRPr="00FF57FA" w:rsidRDefault="00EB7CFE" w:rsidP="00561D50">
            <w:pPr>
              <w:tabs>
                <w:tab w:val="left" w:pos="5580"/>
              </w:tabs>
              <w:snapToGrid w:val="0"/>
              <w:spacing w:before="60" w:after="0" w:line="240" w:lineRule="auto"/>
              <w:jc w:val="center"/>
              <w:rPr>
                <w:rFonts w:eastAsia="Calibri" w:cs="Times New Roman"/>
                <w:b/>
                <w:bCs/>
                <w:sz w:val="26"/>
                <w:szCs w:val="26"/>
                <w:lang w:val="nl-NL"/>
              </w:rPr>
            </w:pPr>
            <w:r w:rsidRPr="00FF57FA">
              <w:rPr>
                <w:rFonts w:eastAsia="Calibri" w:cs="Times New Roman"/>
                <w:b/>
                <w:bCs/>
                <w:sz w:val="26"/>
                <w:szCs w:val="26"/>
                <w:lang w:val="nl-NL"/>
              </w:rPr>
              <w:t>CỘNG HÒA XÃ HỘI CHỦ NGHĨA VIỆT NAM</w:t>
            </w:r>
          </w:p>
          <w:p w14:paraId="3F933FF9" w14:textId="77777777" w:rsidR="00EB7CFE" w:rsidRPr="00FF57FA" w:rsidRDefault="00EB7CFE" w:rsidP="00561D50">
            <w:pPr>
              <w:tabs>
                <w:tab w:val="left" w:pos="5580"/>
              </w:tabs>
              <w:spacing w:before="60" w:after="0" w:line="240" w:lineRule="auto"/>
              <w:jc w:val="center"/>
              <w:rPr>
                <w:rFonts w:eastAsia="Calibri" w:cs="Times New Roman"/>
                <w:b/>
                <w:bCs/>
                <w:szCs w:val="28"/>
                <w:lang w:val="nl-NL"/>
              </w:rPr>
            </w:pPr>
            <w:r w:rsidRPr="00FF57FA">
              <w:rPr>
                <w:rFonts w:eastAsia="Calibri" w:cs="Times New Roman"/>
                <w:b/>
                <w:bCs/>
                <w:szCs w:val="28"/>
                <w:lang w:val="nl-NL"/>
              </w:rPr>
              <w:t>Độc lập - Tự do – Hạnh phúc</w:t>
            </w:r>
          </w:p>
          <w:p w14:paraId="0F0A0CED" w14:textId="77777777" w:rsidR="00EB7CFE" w:rsidRPr="00FF57FA" w:rsidRDefault="00EB7CFE" w:rsidP="00561D50">
            <w:pPr>
              <w:tabs>
                <w:tab w:val="left" w:pos="5580"/>
              </w:tabs>
              <w:spacing w:before="60" w:after="0" w:line="240" w:lineRule="auto"/>
              <w:jc w:val="center"/>
              <w:rPr>
                <w:rFonts w:eastAsia="Calibri" w:cs="Times New Roman"/>
                <w:b/>
                <w:bCs/>
                <w:i/>
                <w:sz w:val="26"/>
                <w:szCs w:val="26"/>
                <w:lang w:val="nl-NL"/>
              </w:rPr>
            </w:pPr>
            <w:r w:rsidRPr="00FF57FA">
              <w:rPr>
                <w:rFonts w:eastAsia="Times New Roman" w:cs="Times New Roman"/>
                <w:b/>
                <w:bCs/>
                <w:noProof/>
                <w:sz w:val="26"/>
                <w:szCs w:val="26"/>
              </w:rPr>
              <mc:AlternateContent>
                <mc:Choice Requires="wps">
                  <w:drawing>
                    <wp:anchor distT="4294967294" distB="4294967294" distL="114300" distR="114300" simplePos="0" relativeHeight="251661312" behindDoc="0" locked="0" layoutInCell="1" allowOverlap="1" wp14:anchorId="0D5B6D4E" wp14:editId="077CFFE3">
                      <wp:simplePos x="0" y="0"/>
                      <wp:positionH relativeFrom="column">
                        <wp:posOffset>2409825</wp:posOffset>
                      </wp:positionH>
                      <wp:positionV relativeFrom="paragraph">
                        <wp:posOffset>15240</wp:posOffset>
                      </wp:positionV>
                      <wp:extent cx="1981200" cy="0"/>
                      <wp:effectExtent l="0" t="0" r="0" b="0"/>
                      <wp:wrapNone/>
                      <wp:docPr id="3"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0FF895" id="Đường nối Thẳng 5"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75pt,1.2pt" to="345.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" strokeweight=".26mm">
                      <v:stroke joinstyle="miter"/>
                    </v:line>
                  </w:pict>
                </mc:Fallback>
              </mc:AlternateContent>
            </w:r>
          </w:p>
        </w:tc>
      </w:tr>
    </w:tbl>
    <w:p w14:paraId="50DE0817" w14:textId="77777777" w:rsidR="00EB7CFE" w:rsidRDefault="00EB7CFE" w:rsidP="00EB7CFE">
      <w:pPr>
        <w:spacing w:after="0" w:line="276" w:lineRule="auto"/>
        <w:jc w:val="center"/>
        <w:rPr>
          <w:b/>
          <w:spacing w:val="-6"/>
          <w:sz w:val="26"/>
          <w:szCs w:val="26"/>
          <w:lang w:val="nl-NL"/>
        </w:rPr>
      </w:pPr>
    </w:p>
    <w:p w14:paraId="70E94D11" w14:textId="21680B4F" w:rsidR="00EB7CFE" w:rsidRPr="002A09A9" w:rsidRDefault="00EB7CFE" w:rsidP="00EB7CFE">
      <w:pPr>
        <w:spacing w:after="0" w:line="276" w:lineRule="auto"/>
        <w:jc w:val="center"/>
        <w:rPr>
          <w:b/>
          <w:spacing w:val="-6"/>
          <w:sz w:val="26"/>
          <w:szCs w:val="26"/>
          <w:lang w:val="nl-NL"/>
        </w:rPr>
      </w:pPr>
      <w:r w:rsidRPr="002A09A9">
        <w:rPr>
          <w:b/>
          <w:spacing w:val="-6"/>
          <w:sz w:val="26"/>
          <w:szCs w:val="26"/>
          <w:lang w:val="nl-NL"/>
        </w:rPr>
        <w:t>PHỤ LỤC</w:t>
      </w:r>
      <w:r>
        <w:rPr>
          <w:b/>
          <w:spacing w:val="-6"/>
          <w:sz w:val="26"/>
          <w:szCs w:val="26"/>
          <w:lang w:val="nl-NL"/>
        </w:rPr>
        <w:t xml:space="preserve"> I</w:t>
      </w:r>
      <w:r w:rsidR="001C069F">
        <w:rPr>
          <w:b/>
          <w:spacing w:val="-6"/>
          <w:sz w:val="26"/>
          <w:szCs w:val="26"/>
          <w:lang w:val="nl-NL"/>
        </w:rPr>
        <w:t>I</w:t>
      </w:r>
    </w:p>
    <w:p w14:paraId="6096E875" w14:textId="34C100BC" w:rsidR="00DB7023" w:rsidRDefault="00EB7CFE" w:rsidP="00EB7CFE">
      <w:pPr>
        <w:spacing w:after="0"/>
        <w:jc w:val="center"/>
        <w:rPr>
          <w:b/>
          <w:spacing w:val="-6"/>
          <w:sz w:val="26"/>
          <w:szCs w:val="26"/>
          <w:lang w:val="nl-NL"/>
        </w:rPr>
      </w:pPr>
      <w:r w:rsidRPr="002A09A9">
        <w:rPr>
          <w:b/>
          <w:spacing w:val="-6"/>
          <w:sz w:val="26"/>
          <w:szCs w:val="26"/>
          <w:lang w:val="nl-NL"/>
        </w:rPr>
        <w:t xml:space="preserve">CÔNG BỐ THỦ TỤC HÀNH CHÍNH </w:t>
      </w:r>
      <w:r>
        <w:rPr>
          <w:b/>
          <w:spacing w:val="-6"/>
          <w:sz w:val="26"/>
          <w:szCs w:val="26"/>
          <w:lang w:val="nl-NL"/>
        </w:rPr>
        <w:t xml:space="preserve">BỊ BÃI BỎ TRONG LĨNH VỰC </w:t>
      </w:r>
      <w:r w:rsidR="00DB7023">
        <w:rPr>
          <w:b/>
          <w:spacing w:val="-6"/>
          <w:sz w:val="26"/>
          <w:szCs w:val="26"/>
          <w:lang w:val="nl-NL"/>
        </w:rPr>
        <w:t xml:space="preserve"> XUẤT BẢN, IN VÀ PHÁT HÀNH</w:t>
      </w:r>
      <w:r w:rsidR="001D3F40">
        <w:rPr>
          <w:b/>
          <w:spacing w:val="-6"/>
          <w:sz w:val="26"/>
          <w:szCs w:val="26"/>
          <w:lang w:val="nl-NL"/>
        </w:rPr>
        <w:t xml:space="preserve"> CẤP XÃ</w:t>
      </w:r>
      <w:r w:rsidR="00DB7023">
        <w:rPr>
          <w:b/>
          <w:spacing w:val="-6"/>
          <w:sz w:val="26"/>
          <w:szCs w:val="26"/>
          <w:lang w:val="nl-NL"/>
        </w:rPr>
        <w:t xml:space="preserve"> </w:t>
      </w:r>
      <w:r w:rsidRPr="002A09A9">
        <w:rPr>
          <w:b/>
          <w:spacing w:val="-6"/>
          <w:sz w:val="26"/>
          <w:szCs w:val="26"/>
          <w:lang w:val="nl-NL"/>
        </w:rPr>
        <w:t xml:space="preserve">THUỘC PHẠM VI </w:t>
      </w:r>
    </w:p>
    <w:p w14:paraId="413E88E6" w14:textId="6D293303" w:rsidR="00EB7CFE" w:rsidRPr="002A09A9" w:rsidRDefault="00EB7CFE" w:rsidP="00EB7CFE">
      <w:pPr>
        <w:spacing w:after="0"/>
        <w:jc w:val="center"/>
        <w:rPr>
          <w:b/>
          <w:spacing w:val="-6"/>
          <w:sz w:val="26"/>
          <w:szCs w:val="26"/>
          <w:lang w:val="nl-NL"/>
        </w:rPr>
      </w:pPr>
      <w:r w:rsidRPr="002A09A9">
        <w:rPr>
          <w:b/>
          <w:spacing w:val="-6"/>
          <w:sz w:val="26"/>
          <w:szCs w:val="26"/>
          <w:lang w:val="nl-NL"/>
        </w:rPr>
        <w:t xml:space="preserve">CHỨC NĂNG QUẢN LÝ </w:t>
      </w:r>
      <w:r>
        <w:rPr>
          <w:b/>
          <w:spacing w:val="-6"/>
          <w:sz w:val="26"/>
          <w:szCs w:val="26"/>
          <w:lang w:val="nl-NL"/>
        </w:rPr>
        <w:t xml:space="preserve"> </w:t>
      </w:r>
      <w:r w:rsidRPr="002A09A9">
        <w:rPr>
          <w:b/>
          <w:spacing w:val="-6"/>
          <w:sz w:val="26"/>
          <w:szCs w:val="26"/>
          <w:lang w:val="nl-NL"/>
        </w:rPr>
        <w:t xml:space="preserve">CỦA </w:t>
      </w:r>
      <w:r>
        <w:rPr>
          <w:b/>
          <w:spacing w:val="-6"/>
          <w:sz w:val="26"/>
          <w:szCs w:val="26"/>
          <w:lang w:val="nl-NL"/>
        </w:rPr>
        <w:t xml:space="preserve">SỞ VĂN HOÁ, THỂ THAO VÀ DU LỊCH TỈNH BẮC NINH </w:t>
      </w:r>
    </w:p>
    <w:p w14:paraId="1716C5FC" w14:textId="77777777" w:rsidR="00EB7CFE" w:rsidRDefault="00EB7CFE" w:rsidP="00EB7CFE">
      <w:pPr>
        <w:jc w:val="center"/>
        <w:rPr>
          <w:i/>
          <w:sz w:val="26"/>
          <w:szCs w:val="26"/>
          <w:lang w:val="nl-NL"/>
        </w:rPr>
      </w:pPr>
      <w:r w:rsidRPr="00F51C61">
        <w:rPr>
          <w:noProof/>
          <w:sz w:val="26"/>
          <w:szCs w:val="26"/>
        </w:rPr>
        <mc:AlternateContent>
          <mc:Choice Requires="wps">
            <w:drawing>
              <wp:anchor distT="4294967294" distB="4294967294" distL="114300" distR="114300" simplePos="0" relativeHeight="251659264" behindDoc="0" locked="0" layoutInCell="1" allowOverlap="1" wp14:anchorId="617163EE" wp14:editId="561391B4">
                <wp:simplePos x="0" y="0"/>
                <wp:positionH relativeFrom="column">
                  <wp:posOffset>3585210</wp:posOffset>
                </wp:positionH>
                <wp:positionV relativeFrom="paragraph">
                  <wp:posOffset>224974</wp:posOffset>
                </wp:positionV>
                <wp:extent cx="2286000" cy="0"/>
                <wp:effectExtent l="0" t="0" r="0" b="0"/>
                <wp:wrapNone/>
                <wp:docPr id="2"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C75BDE" id="Đường nối Thẳng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3pt,17.7pt" to="46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" strokeweight=".26mm">
                <v:stroke joinstyle="miter"/>
              </v:line>
            </w:pict>
          </mc:Fallback>
        </mc:AlternateContent>
      </w:r>
      <w:r w:rsidRPr="00F51C61">
        <w:rPr>
          <w:sz w:val="26"/>
          <w:szCs w:val="26"/>
          <w:lang w:val="nl-NL"/>
        </w:rPr>
        <w:t>(</w:t>
      </w:r>
      <w:r w:rsidRPr="0033073D">
        <w:rPr>
          <w:i/>
          <w:sz w:val="26"/>
          <w:szCs w:val="26"/>
          <w:lang w:val="nl-NL"/>
        </w:rPr>
        <w:t>Kèm theo Quyết định số:</w:t>
      </w:r>
      <w:r>
        <w:rPr>
          <w:i/>
          <w:sz w:val="26"/>
          <w:szCs w:val="26"/>
          <w:lang w:val="nl-NL"/>
        </w:rPr>
        <w:t xml:space="preserve">        </w:t>
      </w:r>
      <w:r w:rsidRPr="0033073D">
        <w:rPr>
          <w:i/>
          <w:sz w:val="26"/>
          <w:szCs w:val="26"/>
          <w:lang w:val="vi-VN"/>
        </w:rPr>
        <w:t xml:space="preserve"> /</w:t>
      </w:r>
      <w:r w:rsidRPr="0033073D">
        <w:rPr>
          <w:i/>
          <w:sz w:val="26"/>
          <w:szCs w:val="26"/>
          <w:lang w:val="nl-NL"/>
        </w:rPr>
        <w:t>QĐ-UBND  ngày       /</w:t>
      </w:r>
      <w:r>
        <w:rPr>
          <w:i/>
          <w:sz w:val="26"/>
          <w:szCs w:val="26"/>
          <w:lang w:val="nl-NL"/>
        </w:rPr>
        <w:t xml:space="preserve"> 5 </w:t>
      </w:r>
      <w:r w:rsidRPr="0033073D">
        <w:rPr>
          <w:i/>
          <w:sz w:val="26"/>
          <w:szCs w:val="26"/>
          <w:lang w:val="nl-NL"/>
        </w:rPr>
        <w:t>/2026 của Chủ tịch UBND tỉnh Bắc Ninh)</w:t>
      </w:r>
    </w:p>
    <w:p w14:paraId="5FB613A3" w14:textId="77777777" w:rsidR="00EB7CFE" w:rsidRDefault="00EB7CFE" w:rsidP="00EB7CFE">
      <w:pPr>
        <w:ind w:firstLine="720"/>
        <w:jc w:val="left"/>
        <w:rPr>
          <w:b/>
          <w:sz w:val="26"/>
          <w:szCs w:val="26"/>
          <w:lang w:val="nl-NL"/>
        </w:rPr>
      </w:pPr>
    </w:p>
    <w:p w14:paraId="671C2BCE" w14:textId="5682143E" w:rsidR="00EB7CFE" w:rsidRPr="00EB0459" w:rsidRDefault="00EB7CFE" w:rsidP="00EB7CFE">
      <w:pPr>
        <w:ind w:firstLine="720"/>
        <w:jc w:val="left"/>
        <w:rPr>
          <w:b/>
          <w:sz w:val="26"/>
          <w:szCs w:val="26"/>
          <w:lang w:val="nl-NL"/>
        </w:rPr>
      </w:pPr>
      <w:r>
        <w:rPr>
          <w:b/>
          <w:sz w:val="26"/>
          <w:szCs w:val="26"/>
          <w:lang w:val="nl-NL"/>
        </w:rPr>
        <w:t xml:space="preserve">THỦ TỤC HÀNH CHÍNH MỚI BAN HÀNH CẤP </w:t>
      </w:r>
      <w:r w:rsidR="00DB7023">
        <w:rPr>
          <w:b/>
          <w:sz w:val="26"/>
          <w:szCs w:val="26"/>
          <w:lang w:val="nl-NL"/>
        </w:rPr>
        <w:t>XÃ</w:t>
      </w:r>
    </w:p>
    <w:tbl>
      <w:tblPr>
        <w:tblW w:w="158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1304"/>
        <w:gridCol w:w="2041"/>
        <w:gridCol w:w="3969"/>
        <w:gridCol w:w="1220"/>
        <w:gridCol w:w="1843"/>
        <w:gridCol w:w="3771"/>
      </w:tblGrid>
      <w:tr w:rsidR="00EB7CFE" w:rsidRPr="0089395D" w14:paraId="31912B53" w14:textId="77777777" w:rsidTr="00561D50">
        <w:trPr>
          <w:trHeight w:val="965"/>
        </w:trPr>
        <w:tc>
          <w:tcPr>
            <w:tcW w:w="568" w:type="dxa"/>
            <w:vAlign w:val="center"/>
          </w:tcPr>
          <w:p w14:paraId="3EC964A3" w14:textId="77777777" w:rsidR="00EB7CFE" w:rsidRPr="0089395D" w:rsidRDefault="00EB7CFE" w:rsidP="00561D50">
            <w:pPr>
              <w:spacing w:line="240" w:lineRule="auto"/>
              <w:jc w:val="center"/>
              <w:rPr>
                <w:rFonts w:eastAsia="Calibri" w:cs="Times New Roman"/>
                <w:b/>
                <w:color w:val="000000"/>
                <w:sz w:val="24"/>
                <w:szCs w:val="24"/>
              </w:rPr>
            </w:pPr>
            <w:r w:rsidRPr="0089395D">
              <w:rPr>
                <w:rFonts w:eastAsia="Calibri" w:cs="Times New Roman"/>
                <w:b/>
                <w:color w:val="000000"/>
                <w:sz w:val="24"/>
                <w:szCs w:val="24"/>
              </w:rPr>
              <w:t>TT</w:t>
            </w:r>
          </w:p>
        </w:tc>
        <w:tc>
          <w:tcPr>
            <w:tcW w:w="1134" w:type="dxa"/>
            <w:vAlign w:val="center"/>
          </w:tcPr>
          <w:p w14:paraId="4F26A325"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Mã TTHC</w:t>
            </w:r>
          </w:p>
        </w:tc>
        <w:tc>
          <w:tcPr>
            <w:tcW w:w="1304" w:type="dxa"/>
            <w:vAlign w:val="center"/>
          </w:tcPr>
          <w:p w14:paraId="184DABCB"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Tên TTHC</w:t>
            </w:r>
          </w:p>
        </w:tc>
        <w:tc>
          <w:tcPr>
            <w:tcW w:w="2041" w:type="dxa"/>
            <w:vAlign w:val="center"/>
          </w:tcPr>
          <w:p w14:paraId="76C44D0E" w14:textId="77777777" w:rsidR="00EB7CFE" w:rsidRPr="0089395D" w:rsidRDefault="00EB7CFE" w:rsidP="00561D50">
            <w:pPr>
              <w:spacing w:line="240" w:lineRule="auto"/>
              <w:jc w:val="center"/>
              <w:rPr>
                <w:rFonts w:eastAsia="Calibri" w:cs="Times New Roman"/>
                <w:b/>
                <w:color w:val="000000"/>
                <w:sz w:val="24"/>
                <w:szCs w:val="24"/>
              </w:rPr>
            </w:pPr>
            <w:r w:rsidRPr="0089395D">
              <w:rPr>
                <w:rFonts w:eastAsia="Calibri" w:cs="Times New Roman"/>
                <w:b/>
                <w:color w:val="000000"/>
                <w:sz w:val="24"/>
                <w:szCs w:val="24"/>
              </w:rPr>
              <w:t>Cách thức thực hiện</w:t>
            </w:r>
          </w:p>
        </w:tc>
        <w:tc>
          <w:tcPr>
            <w:tcW w:w="3969" w:type="dxa"/>
            <w:vAlign w:val="center"/>
          </w:tcPr>
          <w:p w14:paraId="63CD08C5" w14:textId="77777777" w:rsidR="00EB7CFE" w:rsidRPr="0089395D" w:rsidRDefault="00EB7CFE" w:rsidP="00561D50">
            <w:pPr>
              <w:spacing w:line="240" w:lineRule="auto"/>
              <w:jc w:val="center"/>
              <w:rPr>
                <w:rFonts w:eastAsia="Calibri" w:cs="Times New Roman"/>
                <w:b/>
                <w:color w:val="000000"/>
                <w:sz w:val="24"/>
                <w:szCs w:val="24"/>
              </w:rPr>
            </w:pPr>
            <w:r w:rsidRPr="0089395D">
              <w:rPr>
                <w:rFonts w:eastAsia="Calibri" w:cs="Times New Roman"/>
                <w:b/>
                <w:color w:val="000000"/>
                <w:sz w:val="24"/>
                <w:szCs w:val="24"/>
              </w:rPr>
              <w:t>Địa điểm thực hiện</w:t>
            </w:r>
          </w:p>
        </w:tc>
        <w:tc>
          <w:tcPr>
            <w:tcW w:w="1220" w:type="dxa"/>
            <w:vAlign w:val="center"/>
          </w:tcPr>
          <w:p w14:paraId="4BD662FB"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lang w:val="nl-NL"/>
              </w:rPr>
              <w:t>Thời hạn giải quyết</w:t>
            </w:r>
          </w:p>
        </w:tc>
        <w:tc>
          <w:tcPr>
            <w:tcW w:w="1843" w:type="dxa"/>
            <w:vAlign w:val="center"/>
          </w:tcPr>
          <w:p w14:paraId="7AA002DC"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Phí, lệ phí</w:t>
            </w:r>
          </w:p>
        </w:tc>
        <w:tc>
          <w:tcPr>
            <w:tcW w:w="3771" w:type="dxa"/>
            <w:vAlign w:val="center"/>
          </w:tcPr>
          <w:p w14:paraId="679A9D4B"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Căn cứ pháp lý quy định sửa đổi bổ sung</w:t>
            </w:r>
          </w:p>
        </w:tc>
      </w:tr>
      <w:tr w:rsidR="00EB7CFE" w:rsidRPr="0089395D" w14:paraId="5C9BF252" w14:textId="77777777" w:rsidTr="00561D50">
        <w:tc>
          <w:tcPr>
            <w:tcW w:w="568" w:type="dxa"/>
          </w:tcPr>
          <w:p w14:paraId="2937EA44" w14:textId="77777777" w:rsidR="00EB7CFE" w:rsidRPr="0089395D" w:rsidRDefault="00EB7CFE" w:rsidP="00561D50">
            <w:pPr>
              <w:spacing w:line="240" w:lineRule="auto"/>
              <w:jc w:val="center"/>
              <w:rPr>
                <w:rFonts w:eastAsia="Calibri" w:cs="Times New Roman"/>
                <w:color w:val="000000"/>
                <w:sz w:val="24"/>
                <w:szCs w:val="24"/>
              </w:rPr>
            </w:pPr>
            <w:r w:rsidRPr="0089395D">
              <w:rPr>
                <w:rFonts w:eastAsia="Calibri" w:cs="Times New Roman"/>
                <w:color w:val="000000"/>
                <w:sz w:val="24"/>
                <w:szCs w:val="24"/>
              </w:rPr>
              <w:t>1</w:t>
            </w:r>
          </w:p>
        </w:tc>
        <w:tc>
          <w:tcPr>
            <w:tcW w:w="1134" w:type="dxa"/>
          </w:tcPr>
          <w:p w14:paraId="612307BF" w14:textId="7007FF6B" w:rsidR="00EB7CFE" w:rsidRPr="0089395D" w:rsidRDefault="00EB7CFE" w:rsidP="00561D50">
            <w:pPr>
              <w:spacing w:line="240" w:lineRule="auto"/>
              <w:rPr>
                <w:rFonts w:eastAsia="Calibri" w:cs="Times New Roman"/>
                <w:sz w:val="24"/>
                <w:szCs w:val="24"/>
              </w:rPr>
            </w:pPr>
          </w:p>
        </w:tc>
        <w:tc>
          <w:tcPr>
            <w:tcW w:w="1304" w:type="dxa"/>
          </w:tcPr>
          <w:p w14:paraId="17ED0A73" w14:textId="4C587BE5" w:rsidR="00EB7CFE" w:rsidRPr="0089395D" w:rsidRDefault="00DB7023"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eastAsia="Calibri" w:cs="Times New Roman"/>
                <w:color w:val="000000"/>
                <w:sz w:val="24"/>
                <w:szCs w:val="24"/>
              </w:rPr>
            </w:pPr>
            <w:r w:rsidRPr="00DB7023">
              <w:rPr>
                <w:rFonts w:eastAsia="Calibri" w:cs="Times New Roman"/>
                <w:color w:val="000000"/>
                <w:sz w:val="24"/>
                <w:szCs w:val="24"/>
              </w:rPr>
              <w:t>Thủ tục xác nhận đăng ký hoạt động in (cấp xã)</w:t>
            </w:r>
          </w:p>
        </w:tc>
        <w:tc>
          <w:tcPr>
            <w:tcW w:w="2041" w:type="dxa"/>
          </w:tcPr>
          <w:p w14:paraId="7BB68C01" w14:textId="77777777" w:rsidR="00EB7CFE" w:rsidRPr="0089395D" w:rsidRDefault="00EB7CFE" w:rsidP="00561D50">
            <w:pPr>
              <w:spacing w:before="100" w:after="100" w:line="240" w:lineRule="auto"/>
              <w:rPr>
                <w:rFonts w:cs="Times New Roman"/>
                <w:color w:val="000000"/>
                <w:sz w:val="24"/>
                <w:szCs w:val="24"/>
              </w:rPr>
            </w:pPr>
            <w:r w:rsidRPr="0089395D">
              <w:rPr>
                <w:rFonts w:cs="Times New Roman"/>
                <w:color w:val="000000"/>
                <w:sz w:val="24"/>
                <w:szCs w:val="24"/>
              </w:rPr>
              <w:t>- Nộp trực tiếp hoặc qua dịch vụ bưu chính công ích.</w:t>
            </w:r>
          </w:p>
          <w:p w14:paraId="25260557" w14:textId="77777777" w:rsidR="00EB7CFE" w:rsidRPr="0089395D" w:rsidRDefault="00EB7CFE" w:rsidP="00561D50">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969" w:type="dxa"/>
          </w:tcPr>
          <w:p w14:paraId="3EA7A190" w14:textId="77777777" w:rsidR="00EB7CFE" w:rsidRPr="0089395D" w:rsidRDefault="00EB7CFE" w:rsidP="00561D50">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3F03B4BE" w14:textId="77777777" w:rsidR="00DB7023" w:rsidRPr="00DB7023" w:rsidRDefault="00DB7023" w:rsidP="00DB7023">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cấp xã</w:t>
            </w:r>
            <w:r>
              <w:rPr>
                <w:rFonts w:eastAsiaTheme="majorEastAsia" w:cs="Times New Roman"/>
                <w:iCs/>
                <w:color w:val="000000"/>
                <w:sz w:val="24"/>
                <w:szCs w:val="24"/>
              </w:rPr>
              <w:t>.</w:t>
            </w:r>
          </w:p>
          <w:p w14:paraId="0C39BF55" w14:textId="77777777" w:rsidR="00DB7023" w:rsidRPr="00DB7023" w:rsidRDefault="00DB7023" w:rsidP="00DB7023">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w:t>
            </w:r>
            <w:r>
              <w:rPr>
                <w:rFonts w:eastAsiaTheme="majorEastAsia" w:cs="Times New Roman"/>
                <w:iCs/>
                <w:color w:val="000000"/>
                <w:sz w:val="24"/>
                <w:szCs w:val="24"/>
              </w:rPr>
              <w:t>nh hoặc</w:t>
            </w:r>
            <w:r w:rsidRPr="0089395D">
              <w:rPr>
                <w:rFonts w:eastAsiaTheme="majorEastAsia" w:cs="Times New Roman"/>
                <w:iCs/>
                <w:color w:val="000000"/>
                <w:sz w:val="24"/>
                <w:szCs w:val="24"/>
              </w:rPr>
              <w:t xml:space="preserve"> Điểm tiếp nhận và trả kết quả giải quyết TTHC phường Kinh Bắc, Số 31, đường Kinh Dương Vương, phường Kinh Bắc, tỉnh Bắc Ninh</w:t>
            </w:r>
            <w:r>
              <w:rPr>
                <w:rFonts w:eastAsiaTheme="majorEastAsia" w:cs="Times New Roman"/>
                <w:iCs/>
                <w:color w:val="000000"/>
                <w:sz w:val="24"/>
                <w:szCs w:val="24"/>
              </w:rPr>
              <w:t xml:space="preserve"> </w:t>
            </w:r>
            <w:r w:rsidRPr="0089395D">
              <w:rPr>
                <w:rFonts w:eastAsiaTheme="majorEastAsia" w:cs="Times New Roman"/>
                <w:iCs/>
                <w:color w:val="000000"/>
                <w:sz w:val="24"/>
                <w:szCs w:val="24"/>
              </w:rPr>
              <w:t>(</w:t>
            </w:r>
            <w:r w:rsidRPr="00DB7023">
              <w:rPr>
                <w:rFonts w:eastAsiaTheme="majorEastAsia" w:cs="Times New Roman"/>
                <w:i/>
                <w:color w:val="000000"/>
                <w:sz w:val="24"/>
                <w:szCs w:val="24"/>
              </w:rPr>
              <w:t>trong trường hợp thực hiện nộp hồ sơ không phụ thuộc vào địa giới hành chính).</w:t>
            </w:r>
          </w:p>
          <w:p w14:paraId="0F824217" w14:textId="77777777" w:rsidR="00DB7023" w:rsidRDefault="00EB7CFE" w:rsidP="00561D50">
            <w:pPr>
              <w:spacing w:line="240" w:lineRule="auto"/>
              <w:rPr>
                <w:rFonts w:cs="Times New Roman"/>
                <w:color w:val="000000" w:themeColor="text1"/>
                <w:sz w:val="24"/>
                <w:szCs w:val="24"/>
              </w:rPr>
            </w:pPr>
            <w:r w:rsidRPr="0089395D">
              <w:rPr>
                <w:rFonts w:cs="Times New Roman"/>
                <w:color w:val="000000" w:themeColor="text1"/>
                <w:sz w:val="24"/>
                <w:szCs w:val="24"/>
              </w:rPr>
              <w:lastRenderedPageBreak/>
              <w:t xml:space="preserve">- </w:t>
            </w:r>
            <w:r w:rsidRPr="0089395D">
              <w:rPr>
                <w:rFonts w:cs="Times New Roman"/>
                <w:b/>
                <w:bCs/>
                <w:color w:val="000000" w:themeColor="text1"/>
                <w:sz w:val="24"/>
                <w:szCs w:val="24"/>
              </w:rPr>
              <w:t>Cơ quan thực hiện</w:t>
            </w:r>
            <w:r w:rsidRPr="0089395D">
              <w:rPr>
                <w:rFonts w:cs="Times New Roman"/>
                <w:color w:val="000000" w:themeColor="text1"/>
                <w:sz w:val="24"/>
                <w:szCs w:val="24"/>
              </w:rPr>
              <w:t xml:space="preserve">: </w:t>
            </w:r>
            <w:r w:rsidR="00DB7023" w:rsidRPr="00DB7023">
              <w:rPr>
                <w:rFonts w:cs="Times New Roman"/>
                <w:color w:val="000000" w:themeColor="text1"/>
                <w:sz w:val="24"/>
                <w:szCs w:val="24"/>
              </w:rPr>
              <w:t>Ủy ban nhân dân cấp xã</w:t>
            </w:r>
          </w:p>
          <w:p w14:paraId="59F3DE1F" w14:textId="77BFADFA" w:rsidR="00EB7CFE" w:rsidRPr="0089395D" w:rsidRDefault="00EB7CFE" w:rsidP="00561D50">
            <w:pPr>
              <w:spacing w:line="240" w:lineRule="auto"/>
              <w:rPr>
                <w:rFonts w:eastAsiaTheme="majorEastAsia" w:cs="Times New Roman"/>
                <w:iCs/>
                <w:color w:val="000000"/>
                <w:sz w:val="24"/>
                <w:szCs w:val="24"/>
              </w:rPr>
            </w:pPr>
            <w:r w:rsidRPr="0089395D">
              <w:rPr>
                <w:rFonts w:cs="Times New Roman"/>
                <w:color w:val="000000" w:themeColor="text1"/>
                <w:sz w:val="24"/>
                <w:szCs w:val="24"/>
              </w:rPr>
              <w:t xml:space="preserve">- </w:t>
            </w:r>
            <w:r w:rsidRPr="0089395D">
              <w:rPr>
                <w:rFonts w:cs="Times New Roman"/>
                <w:b/>
                <w:bCs/>
                <w:color w:val="000000" w:themeColor="text1"/>
                <w:sz w:val="24"/>
                <w:szCs w:val="24"/>
              </w:rPr>
              <w:t>Cơ quan có thẩm quyền quyết định</w:t>
            </w:r>
            <w:r w:rsidRPr="0089395D">
              <w:rPr>
                <w:rFonts w:cs="Times New Roman"/>
                <w:color w:val="000000" w:themeColor="text1"/>
                <w:sz w:val="24"/>
                <w:szCs w:val="24"/>
              </w:rPr>
              <w:t>:</w:t>
            </w:r>
            <w:r>
              <w:rPr>
                <w:rFonts w:cs="Times New Roman"/>
                <w:color w:val="000000" w:themeColor="text1"/>
                <w:sz w:val="24"/>
                <w:szCs w:val="24"/>
              </w:rPr>
              <w:t xml:space="preserve"> </w:t>
            </w:r>
            <w:r w:rsidR="00DB7023" w:rsidRPr="00DB7023">
              <w:rPr>
                <w:rFonts w:cs="Times New Roman"/>
                <w:color w:val="000000" w:themeColor="text1"/>
                <w:sz w:val="24"/>
                <w:szCs w:val="24"/>
              </w:rPr>
              <w:t>Ủy ban nhân dân cấp xã</w:t>
            </w:r>
          </w:p>
        </w:tc>
        <w:tc>
          <w:tcPr>
            <w:tcW w:w="1220" w:type="dxa"/>
          </w:tcPr>
          <w:p w14:paraId="63F33B11" w14:textId="44411D99" w:rsidR="00EB7CFE" w:rsidRPr="0089395D" w:rsidRDefault="00DB7023"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r w:rsidRPr="00DB7023">
              <w:rPr>
                <w:rFonts w:eastAsia="Calibri" w:cs="Times New Roman"/>
                <w:color w:val="000000"/>
                <w:sz w:val="24"/>
                <w:szCs w:val="24"/>
              </w:rPr>
              <w:lastRenderedPageBreak/>
              <w:t>05 ngày làm việc kể từ ngày nhận đủ hồ sơ theo quy định.</w:t>
            </w:r>
          </w:p>
        </w:tc>
        <w:tc>
          <w:tcPr>
            <w:tcW w:w="1843" w:type="dxa"/>
          </w:tcPr>
          <w:p w14:paraId="1BCC3E36" w14:textId="4C2D1508" w:rsidR="00EB7CFE" w:rsidRPr="0089395D" w:rsidRDefault="00DB7023" w:rsidP="00561D50">
            <w:pPr>
              <w:spacing w:line="240" w:lineRule="auto"/>
              <w:rPr>
                <w:rFonts w:cs="Times New Roman"/>
                <w:color w:val="000000"/>
                <w:sz w:val="24"/>
                <w:szCs w:val="24"/>
              </w:rPr>
            </w:pPr>
            <w:r w:rsidRPr="00DB7023">
              <w:rPr>
                <w:rFonts w:cs="Times New Roman"/>
                <w:color w:val="000000"/>
                <w:sz w:val="24"/>
                <w:szCs w:val="24"/>
              </w:rPr>
              <w:t>Không</w:t>
            </w:r>
          </w:p>
        </w:tc>
        <w:tc>
          <w:tcPr>
            <w:tcW w:w="3771" w:type="dxa"/>
          </w:tcPr>
          <w:p w14:paraId="58F74630" w14:textId="77777777" w:rsidR="00DB7023" w:rsidRDefault="00DB7023" w:rsidP="00561D50">
            <w:pPr>
              <w:spacing w:line="240" w:lineRule="auto"/>
              <w:rPr>
                <w:rFonts w:cs="Times New Roman"/>
                <w:spacing w:val="-4"/>
                <w:sz w:val="24"/>
                <w:szCs w:val="24"/>
              </w:rPr>
            </w:pPr>
            <w:r w:rsidRPr="00DB7023">
              <w:rPr>
                <w:rFonts w:cs="Times New Roman"/>
                <w:spacing w:val="-4"/>
                <w:sz w:val="24"/>
                <w:szCs w:val="24"/>
              </w:rPr>
              <w:t xml:space="preserve">- Nghị định số 60/2014/NĐ-CP ngày 19/6/2014 của Chính phủ quy định về hoạt động in; </w:t>
            </w:r>
          </w:p>
          <w:p w14:paraId="0E008887" w14:textId="77777777" w:rsidR="00DB7023" w:rsidRDefault="00DB7023" w:rsidP="00561D50">
            <w:pPr>
              <w:spacing w:line="240" w:lineRule="auto"/>
              <w:rPr>
                <w:rFonts w:cs="Times New Roman"/>
                <w:spacing w:val="-4"/>
                <w:sz w:val="24"/>
                <w:szCs w:val="24"/>
              </w:rPr>
            </w:pPr>
            <w:r w:rsidRPr="00DB7023">
              <w:rPr>
                <w:rFonts w:cs="Times New Roman"/>
                <w:spacing w:val="-4"/>
                <w:sz w:val="24"/>
                <w:szCs w:val="24"/>
              </w:rPr>
              <w:t xml:space="preserve">- Nghị định số 25/2018/NĐ-CP ngày 28/02/2018 của Chính phủ sửa đổi, bổ sung một số điều của Nghị định số 60/2014/NĐ-CP ngày 19/6/2014 của Chính phủ quy định về hoạt động in; </w:t>
            </w:r>
          </w:p>
          <w:p w14:paraId="3668C507" w14:textId="77777777" w:rsidR="00EB7CFE" w:rsidRDefault="00DB7023" w:rsidP="00561D50">
            <w:pPr>
              <w:spacing w:line="240" w:lineRule="auto"/>
              <w:rPr>
                <w:rFonts w:cs="Times New Roman"/>
                <w:spacing w:val="-4"/>
                <w:sz w:val="24"/>
                <w:szCs w:val="24"/>
              </w:rPr>
            </w:pPr>
            <w:r w:rsidRPr="00DB7023">
              <w:rPr>
                <w:rFonts w:cs="Times New Roman"/>
                <w:spacing w:val="-4"/>
                <w:sz w:val="24"/>
                <w:szCs w:val="24"/>
              </w:rPr>
              <w:t xml:space="preserve">-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w:t>
            </w:r>
            <w:r w:rsidRPr="00DB7023">
              <w:rPr>
                <w:rFonts w:cs="Times New Roman"/>
                <w:spacing w:val="-4"/>
                <w:sz w:val="24"/>
                <w:szCs w:val="24"/>
              </w:rPr>
              <w:lastRenderedPageBreak/>
              <w:t>60/2014/NĐ-CP ngày 19/6/2014 của Chính phủ quy định về hoạt động in;</w:t>
            </w:r>
          </w:p>
          <w:p w14:paraId="542B3B4B" w14:textId="77777777" w:rsidR="00DB7023" w:rsidRDefault="00DB7023" w:rsidP="00561D50">
            <w:pPr>
              <w:spacing w:line="240" w:lineRule="auto"/>
              <w:rPr>
                <w:rFonts w:cs="Times New Roman"/>
                <w:spacing w:val="-4"/>
                <w:sz w:val="24"/>
                <w:szCs w:val="24"/>
              </w:rPr>
            </w:pPr>
            <w:r w:rsidRPr="00DB7023">
              <w:rPr>
                <w:rFonts w:cs="Times New Roman"/>
                <w:spacing w:val="-4"/>
                <w:sz w:val="24"/>
                <w:szCs w:val="24"/>
              </w:rPr>
              <w:t xml:space="preserve">-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 </w:t>
            </w:r>
          </w:p>
          <w:p w14:paraId="4C89C6C9" w14:textId="0F1C851C" w:rsidR="00DB7023" w:rsidRPr="0089395D" w:rsidRDefault="00DB7023" w:rsidP="00561D50">
            <w:pPr>
              <w:spacing w:line="240" w:lineRule="auto"/>
              <w:rPr>
                <w:rFonts w:cs="Times New Roman"/>
                <w:spacing w:val="-4"/>
                <w:sz w:val="24"/>
                <w:szCs w:val="24"/>
              </w:rPr>
            </w:pPr>
            <w:r w:rsidRPr="00DB7023">
              <w:rPr>
                <w:rFonts w:cs="Times New Roman"/>
                <w:spacing w:val="-4"/>
                <w:sz w:val="24"/>
                <w:szCs w:val="24"/>
              </w:rPr>
              <w:t>- Nghị quyết số 18/2026/NQ-CP ngày 29/4/2026 của Chính phủ về cắt giảm, phân cấp, đơn giản hóa thủ tục hành chính, cắt giảm điều kiện đầu tư kinh doanh thuộc phạm vi quản lý của Bộ Văn hóa, Thể thao và Du lịch.</w:t>
            </w:r>
          </w:p>
        </w:tc>
      </w:tr>
      <w:tr w:rsidR="00EB7CFE" w:rsidRPr="0089395D" w14:paraId="5E4C0C50" w14:textId="77777777" w:rsidTr="00561D50">
        <w:tc>
          <w:tcPr>
            <w:tcW w:w="568" w:type="dxa"/>
            <w:tcBorders>
              <w:top w:val="single" w:sz="4" w:space="0" w:color="000000"/>
              <w:left w:val="single" w:sz="4" w:space="0" w:color="000000"/>
              <w:bottom w:val="single" w:sz="4" w:space="0" w:color="000000"/>
              <w:right w:val="single" w:sz="4" w:space="0" w:color="000000"/>
            </w:tcBorders>
          </w:tcPr>
          <w:p w14:paraId="65AC23CE" w14:textId="77777777" w:rsidR="00EB7CFE" w:rsidRPr="0089395D" w:rsidRDefault="00EB7CFE" w:rsidP="00561D50">
            <w:pPr>
              <w:spacing w:line="240" w:lineRule="auto"/>
              <w:jc w:val="center"/>
              <w:rPr>
                <w:rFonts w:eastAsia="Calibri" w:cs="Times New Roman"/>
                <w:color w:val="000000"/>
                <w:sz w:val="24"/>
                <w:szCs w:val="24"/>
              </w:rPr>
            </w:pPr>
            <w:r w:rsidRPr="0089395D">
              <w:rPr>
                <w:rFonts w:eastAsia="Calibri" w:cs="Times New Roman"/>
                <w:color w:val="000000"/>
                <w:sz w:val="24"/>
                <w:szCs w:val="24"/>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14:paraId="17E684E2" w14:textId="06A66660" w:rsidR="00EB7CFE" w:rsidRPr="0089395D" w:rsidRDefault="00EB7CFE" w:rsidP="00561D50">
            <w:pPr>
              <w:spacing w:line="240" w:lineRule="auto"/>
              <w:rPr>
                <w:rFonts w:eastAsia="Calibri"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01848CED" w14:textId="51EAD244" w:rsidR="00EB7CFE" w:rsidRPr="0089395D" w:rsidRDefault="00DB7023"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DB7023">
              <w:rPr>
                <w:rFonts w:cs="Times New Roman"/>
                <w:sz w:val="24"/>
                <w:szCs w:val="24"/>
              </w:rPr>
              <w:t>Thủ tục xác nhận thay đổi thông tin đăng ký hoạt động in (cấp xã)</w:t>
            </w:r>
          </w:p>
        </w:tc>
        <w:tc>
          <w:tcPr>
            <w:tcW w:w="2041" w:type="dxa"/>
            <w:tcBorders>
              <w:top w:val="single" w:sz="4" w:space="0" w:color="000000"/>
              <w:left w:val="single" w:sz="4" w:space="0" w:color="000000"/>
              <w:bottom w:val="single" w:sz="4" w:space="0" w:color="000000"/>
              <w:right w:val="single" w:sz="4" w:space="0" w:color="000000"/>
            </w:tcBorders>
          </w:tcPr>
          <w:p w14:paraId="551F03C3" w14:textId="77777777" w:rsidR="00EB7CFE" w:rsidRPr="0089395D" w:rsidRDefault="00EB7CFE" w:rsidP="00561D50">
            <w:pPr>
              <w:spacing w:before="100" w:after="100" w:line="240" w:lineRule="auto"/>
              <w:rPr>
                <w:rFonts w:cs="Times New Roman"/>
                <w:color w:val="000000"/>
                <w:sz w:val="24"/>
                <w:szCs w:val="24"/>
              </w:rPr>
            </w:pPr>
            <w:r w:rsidRPr="0089395D">
              <w:rPr>
                <w:rFonts w:cs="Times New Roman"/>
                <w:color w:val="000000"/>
                <w:sz w:val="24"/>
                <w:szCs w:val="24"/>
              </w:rPr>
              <w:t>- Nộp trực tiếp hoặc</w:t>
            </w:r>
            <w:r>
              <w:rPr>
                <w:rFonts w:cs="Times New Roman"/>
                <w:color w:val="000000"/>
                <w:sz w:val="24"/>
                <w:szCs w:val="24"/>
              </w:rPr>
              <w:t xml:space="preserve"> </w:t>
            </w:r>
            <w:r w:rsidRPr="0089395D">
              <w:rPr>
                <w:rFonts w:cs="Times New Roman"/>
                <w:color w:val="000000"/>
                <w:sz w:val="24"/>
                <w:szCs w:val="24"/>
              </w:rPr>
              <w:t>qua dịch vụ bưu chính công ích.</w:t>
            </w:r>
          </w:p>
          <w:p w14:paraId="21E03B5E" w14:textId="77777777" w:rsidR="00EB7CFE" w:rsidRPr="0089395D" w:rsidRDefault="00EB7CFE" w:rsidP="00561D50">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969" w:type="dxa"/>
            <w:tcBorders>
              <w:top w:val="single" w:sz="4" w:space="0" w:color="000000"/>
              <w:left w:val="single" w:sz="4" w:space="0" w:color="000000"/>
              <w:bottom w:val="single" w:sz="4" w:space="0" w:color="000000"/>
              <w:right w:val="single" w:sz="4" w:space="0" w:color="000000"/>
            </w:tcBorders>
          </w:tcPr>
          <w:p w14:paraId="325236D4" w14:textId="77777777" w:rsidR="00EB7CFE" w:rsidRDefault="00EB7CFE" w:rsidP="00561D50">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1D7240D4" w14:textId="4637C380" w:rsidR="00DB7023" w:rsidRPr="00DB7023" w:rsidRDefault="00DB7023" w:rsidP="00561D50">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cấp xã</w:t>
            </w:r>
            <w:r>
              <w:rPr>
                <w:rFonts w:eastAsiaTheme="majorEastAsia" w:cs="Times New Roman"/>
                <w:iCs/>
                <w:color w:val="000000"/>
                <w:sz w:val="24"/>
                <w:szCs w:val="24"/>
              </w:rPr>
              <w:t>.</w:t>
            </w:r>
          </w:p>
          <w:p w14:paraId="14F73520" w14:textId="6CDF584E" w:rsidR="00EB7CFE" w:rsidRPr="00DB7023" w:rsidRDefault="00EB7CFE" w:rsidP="00561D50">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w:t>
            </w:r>
            <w:r w:rsidR="00DB7023">
              <w:rPr>
                <w:rFonts w:eastAsiaTheme="majorEastAsia" w:cs="Times New Roman"/>
                <w:iCs/>
                <w:color w:val="000000"/>
                <w:sz w:val="24"/>
                <w:szCs w:val="24"/>
              </w:rPr>
              <w:t>nh hoặc</w:t>
            </w:r>
            <w:r w:rsidRPr="0089395D">
              <w:rPr>
                <w:rFonts w:eastAsiaTheme="majorEastAsia" w:cs="Times New Roman"/>
                <w:iCs/>
                <w:color w:val="000000"/>
                <w:sz w:val="24"/>
                <w:szCs w:val="24"/>
              </w:rPr>
              <w:t xml:space="preserve"> Điểm tiếp nhận và trả kết quả giải quyết TTHC phường Kinh Bắc, Số 31, đường Kinh Dương Vương, phường Kinh Bắc, tỉnh Bắc Ninh</w:t>
            </w:r>
            <w:r w:rsidR="00DB7023">
              <w:rPr>
                <w:rFonts w:eastAsiaTheme="majorEastAsia" w:cs="Times New Roman"/>
                <w:iCs/>
                <w:color w:val="000000"/>
                <w:sz w:val="24"/>
                <w:szCs w:val="24"/>
              </w:rPr>
              <w:t xml:space="preserve"> </w:t>
            </w:r>
            <w:r w:rsidR="00DB7023" w:rsidRPr="00DB7023">
              <w:rPr>
                <w:rFonts w:eastAsiaTheme="majorEastAsia" w:cs="Times New Roman"/>
                <w:i/>
                <w:color w:val="000000"/>
                <w:sz w:val="24"/>
                <w:szCs w:val="24"/>
              </w:rPr>
              <w:t>(trong trường hợp thực hiện nộp hồ sơ không phụ thuộc vào địa giới hành chính).</w:t>
            </w:r>
          </w:p>
          <w:p w14:paraId="2847E038" w14:textId="77777777" w:rsidR="00DB7023" w:rsidRDefault="00EB7CFE" w:rsidP="00561D50">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w:t>
            </w:r>
            <w:r w:rsidR="00DB7023" w:rsidRPr="00DB7023">
              <w:rPr>
                <w:rFonts w:eastAsiaTheme="majorEastAsia" w:cs="Times New Roman"/>
                <w:iCs/>
                <w:color w:val="000000"/>
                <w:sz w:val="24"/>
                <w:szCs w:val="24"/>
              </w:rPr>
              <w:t xml:space="preserve">Ủy ban nhân dân cấp xã </w:t>
            </w:r>
          </w:p>
          <w:p w14:paraId="28399B60" w14:textId="5AD40D1C" w:rsidR="00EB7CFE" w:rsidRPr="0089395D" w:rsidRDefault="00EB7CFE" w:rsidP="00561D50">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lastRenderedPageBreak/>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w:t>
            </w:r>
            <w:r w:rsidR="00DB7023" w:rsidRPr="00DB7023">
              <w:rPr>
                <w:rFonts w:eastAsiaTheme="majorEastAsia" w:cs="Times New Roman"/>
                <w:iCs/>
                <w:color w:val="000000"/>
                <w:sz w:val="24"/>
                <w:szCs w:val="24"/>
              </w:rPr>
              <w:t>Ủy ban nhân dân cấp xã</w:t>
            </w:r>
          </w:p>
        </w:tc>
        <w:tc>
          <w:tcPr>
            <w:tcW w:w="1220" w:type="dxa"/>
            <w:tcBorders>
              <w:top w:val="single" w:sz="4" w:space="0" w:color="000000"/>
              <w:left w:val="single" w:sz="4" w:space="0" w:color="000000"/>
              <w:bottom w:val="single" w:sz="4" w:space="0" w:color="000000"/>
              <w:right w:val="single" w:sz="4" w:space="0" w:color="000000"/>
            </w:tcBorders>
          </w:tcPr>
          <w:p w14:paraId="450A8C2A" w14:textId="5ADC20D1" w:rsidR="00EB7CFE" w:rsidRPr="0089395D" w:rsidRDefault="00DB7023"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DB7023">
              <w:rPr>
                <w:rFonts w:cs="Times New Roman"/>
                <w:sz w:val="24"/>
                <w:szCs w:val="24"/>
              </w:rPr>
              <w:lastRenderedPageBreak/>
              <w:t>05 ngày làm việc kể từ ngày nhận đủ hồ sơ theo quy định.</w:t>
            </w:r>
          </w:p>
        </w:tc>
        <w:tc>
          <w:tcPr>
            <w:tcW w:w="1843" w:type="dxa"/>
            <w:tcBorders>
              <w:top w:val="single" w:sz="4" w:space="0" w:color="000000"/>
              <w:left w:val="single" w:sz="4" w:space="0" w:color="000000"/>
              <w:bottom w:val="single" w:sz="4" w:space="0" w:color="000000"/>
              <w:right w:val="single" w:sz="4" w:space="0" w:color="000000"/>
            </w:tcBorders>
          </w:tcPr>
          <w:p w14:paraId="40AFFC60" w14:textId="71A6FE45" w:rsidR="00EB7CFE" w:rsidRPr="0089395D" w:rsidRDefault="00DB7023" w:rsidP="00561D50">
            <w:pPr>
              <w:spacing w:line="240" w:lineRule="auto"/>
              <w:jc w:val="center"/>
              <w:rPr>
                <w:rFonts w:cs="Times New Roman"/>
                <w:color w:val="000000"/>
                <w:sz w:val="24"/>
                <w:szCs w:val="24"/>
              </w:rPr>
            </w:pPr>
            <w:r w:rsidRPr="00DB7023">
              <w:rPr>
                <w:rFonts w:cs="Times New Roman"/>
                <w:color w:val="000000"/>
                <w:sz w:val="24"/>
                <w:szCs w:val="24"/>
              </w:rPr>
              <w:t>Không</w:t>
            </w:r>
          </w:p>
        </w:tc>
        <w:tc>
          <w:tcPr>
            <w:tcW w:w="3771" w:type="dxa"/>
            <w:tcBorders>
              <w:top w:val="single" w:sz="4" w:space="0" w:color="000000"/>
              <w:left w:val="single" w:sz="4" w:space="0" w:color="000000"/>
              <w:bottom w:val="single" w:sz="4" w:space="0" w:color="000000"/>
              <w:right w:val="single" w:sz="4" w:space="0" w:color="000000"/>
            </w:tcBorders>
          </w:tcPr>
          <w:p w14:paraId="54BDB9CE" w14:textId="77777777" w:rsidR="00DB7023" w:rsidRDefault="00EB7CFE" w:rsidP="00EB7CFE">
            <w:pPr>
              <w:spacing w:line="240" w:lineRule="auto"/>
              <w:rPr>
                <w:rFonts w:cs="Times New Roman"/>
                <w:iCs/>
                <w:color w:val="000000"/>
                <w:spacing w:val="-6"/>
                <w:sz w:val="24"/>
                <w:szCs w:val="24"/>
              </w:rPr>
            </w:pPr>
            <w:r w:rsidRPr="0089395D">
              <w:rPr>
                <w:rFonts w:cs="Times New Roman"/>
                <w:iCs/>
                <w:color w:val="000000"/>
                <w:spacing w:val="-6"/>
                <w:sz w:val="24"/>
                <w:szCs w:val="24"/>
              </w:rPr>
              <w:br/>
            </w:r>
            <w:r w:rsidR="00DB7023" w:rsidRPr="00DB7023">
              <w:rPr>
                <w:rFonts w:cs="Times New Roman"/>
                <w:iCs/>
                <w:color w:val="000000"/>
                <w:spacing w:val="-6"/>
                <w:sz w:val="24"/>
                <w:szCs w:val="24"/>
              </w:rPr>
              <w:t xml:space="preserve">- Nghị định số 60/2014/NĐ-CP ngày 19/6/2014 của Chính phủ quy định về hoạt động in; </w:t>
            </w:r>
          </w:p>
          <w:p w14:paraId="18B5D997" w14:textId="77777777" w:rsidR="00DB7023" w:rsidRDefault="00DB7023" w:rsidP="00EB7CFE">
            <w:pPr>
              <w:spacing w:line="240" w:lineRule="auto"/>
              <w:rPr>
                <w:rFonts w:cs="Times New Roman"/>
                <w:iCs/>
                <w:color w:val="000000"/>
                <w:spacing w:val="-6"/>
                <w:sz w:val="24"/>
                <w:szCs w:val="24"/>
              </w:rPr>
            </w:pPr>
            <w:r w:rsidRPr="00DB7023">
              <w:rPr>
                <w:rFonts w:cs="Times New Roman"/>
                <w:iCs/>
                <w:color w:val="000000"/>
                <w:spacing w:val="-6"/>
                <w:sz w:val="24"/>
                <w:szCs w:val="24"/>
              </w:rPr>
              <w:t>- Nghị định số 25/2018/NĐ-CP ngày 28/02/2018 của Chính phủ sửa đổi, bổ sung một số điều của Nghị định số 60/2014/NĐ-CP ngày 19/6/2014 của Chính phủ quy định về hoạt động in;</w:t>
            </w:r>
          </w:p>
          <w:p w14:paraId="487404BC" w14:textId="77777777" w:rsidR="00DB7023" w:rsidRDefault="00DB7023" w:rsidP="00EB7CFE">
            <w:pPr>
              <w:spacing w:line="240" w:lineRule="auto"/>
              <w:rPr>
                <w:rFonts w:cs="Times New Roman"/>
                <w:iCs/>
                <w:color w:val="000000"/>
                <w:spacing w:val="-6"/>
                <w:sz w:val="24"/>
                <w:szCs w:val="24"/>
              </w:rPr>
            </w:pPr>
            <w:r w:rsidRPr="00DB7023">
              <w:rPr>
                <w:rFonts w:cs="Times New Roman"/>
                <w:iCs/>
                <w:color w:val="000000"/>
                <w:spacing w:val="-6"/>
                <w:sz w:val="24"/>
                <w:szCs w:val="24"/>
              </w:rPr>
              <w:t xml:space="preserve"> - Nghị định số 72/2022/NĐ-CP ngày 04/10/2022 của Chính phủ sửa đổi, bổ sung một số điều của Nghị định số 60/2014/NĐ-CP ngày 19/6/2014 của Chính phủ quy định về hoạt động in và Nghị định số 25/2018/NĐ-CP ngày 28/2/2018</w:t>
            </w:r>
            <w:r>
              <w:rPr>
                <w:rFonts w:cs="Times New Roman"/>
                <w:iCs/>
                <w:color w:val="000000"/>
                <w:spacing w:val="-6"/>
                <w:sz w:val="24"/>
                <w:szCs w:val="24"/>
              </w:rPr>
              <w:t xml:space="preserve"> </w:t>
            </w:r>
            <w:r w:rsidRPr="00DB7023">
              <w:rPr>
                <w:rFonts w:cs="Times New Roman"/>
                <w:iCs/>
                <w:color w:val="000000"/>
                <w:spacing w:val="-6"/>
                <w:sz w:val="24"/>
                <w:szCs w:val="24"/>
              </w:rPr>
              <w:t xml:space="preserve">của Chính phủ sửa đổi, bổ sung một số điều của Nghị định số </w:t>
            </w:r>
            <w:r w:rsidRPr="00DB7023">
              <w:rPr>
                <w:rFonts w:cs="Times New Roman"/>
                <w:iCs/>
                <w:color w:val="000000"/>
                <w:spacing w:val="-6"/>
                <w:sz w:val="24"/>
                <w:szCs w:val="24"/>
              </w:rPr>
              <w:lastRenderedPageBreak/>
              <w:t>60/2014/NĐ-CP ngày 19/6/2014 của Chính phủ quy định về hoạt động in.</w:t>
            </w:r>
          </w:p>
          <w:p w14:paraId="167DDBAA" w14:textId="77777777" w:rsidR="00DB7023" w:rsidRDefault="00DB7023" w:rsidP="00EB7CFE">
            <w:pPr>
              <w:spacing w:line="240" w:lineRule="auto"/>
              <w:rPr>
                <w:rFonts w:cs="Times New Roman"/>
                <w:iCs/>
                <w:color w:val="000000"/>
                <w:spacing w:val="-6"/>
                <w:sz w:val="24"/>
                <w:szCs w:val="24"/>
              </w:rPr>
            </w:pPr>
            <w:r w:rsidRPr="00DB7023">
              <w:rPr>
                <w:rFonts w:cs="Times New Roman"/>
                <w:iCs/>
                <w:color w:val="000000"/>
                <w:spacing w:val="-6"/>
                <w:sz w:val="24"/>
                <w:szCs w:val="24"/>
              </w:rPr>
              <w:t xml:space="preserve"> -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 </w:t>
            </w:r>
          </w:p>
          <w:p w14:paraId="3A71D5E7" w14:textId="25E67E09" w:rsidR="00EB7CFE" w:rsidRPr="0089395D" w:rsidRDefault="00DB7023" w:rsidP="00EB7CFE">
            <w:pPr>
              <w:spacing w:line="240" w:lineRule="auto"/>
              <w:rPr>
                <w:rFonts w:cs="Times New Roman"/>
                <w:iCs/>
                <w:color w:val="000000"/>
                <w:spacing w:val="-6"/>
                <w:sz w:val="24"/>
                <w:szCs w:val="24"/>
              </w:rPr>
            </w:pPr>
            <w:r w:rsidRPr="00DB7023">
              <w:rPr>
                <w:rFonts w:cs="Times New Roman"/>
                <w:iCs/>
                <w:color w:val="000000"/>
                <w:spacing w:val="-6"/>
                <w:sz w:val="24"/>
                <w:szCs w:val="24"/>
              </w:rPr>
              <w:t>- Nghị quyết số 18/2026/NQ-CP ngày 29/4/2026 của Chính phủ về cắt giảm, phân cấp, đơn giản hóa thủ tục hành chính, cắt giảm điều kiện đầu tư kinh doanh thuộc phạm vi quản lý của Bộ Văn hóa, Thể thao và Du lịch.</w:t>
            </w:r>
          </w:p>
          <w:p w14:paraId="3C27CF64" w14:textId="081F6EB9" w:rsidR="00EB7CFE" w:rsidRPr="0089395D" w:rsidRDefault="00EB7CFE" w:rsidP="00561D50">
            <w:pPr>
              <w:spacing w:line="240" w:lineRule="auto"/>
              <w:rPr>
                <w:rFonts w:cs="Times New Roman"/>
                <w:iCs/>
                <w:color w:val="000000"/>
                <w:spacing w:val="-6"/>
                <w:sz w:val="24"/>
                <w:szCs w:val="24"/>
              </w:rPr>
            </w:pPr>
          </w:p>
        </w:tc>
      </w:tr>
    </w:tbl>
    <w:p w14:paraId="5200946B" w14:textId="77777777" w:rsidR="001313A8" w:rsidRDefault="001313A8"/>
    <w:sectPr w:rsidR="001313A8" w:rsidSect="00EB7CFE">
      <w:pgSz w:w="16840" w:h="11907" w:orient="landscape" w:code="9"/>
      <w:pgMar w:top="1134" w:right="680" w:bottom="1134" w:left="79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FE"/>
    <w:rsid w:val="001313A8"/>
    <w:rsid w:val="001C069F"/>
    <w:rsid w:val="001D3F40"/>
    <w:rsid w:val="00393DD9"/>
    <w:rsid w:val="008F4590"/>
    <w:rsid w:val="009E4B7E"/>
    <w:rsid w:val="009E63E3"/>
    <w:rsid w:val="00DB7023"/>
    <w:rsid w:val="00EB7CFE"/>
    <w:rsid w:val="00FD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2CC1"/>
  <w15:chartTrackingRefBased/>
  <w15:docId w15:val="{4DD5E614-57B4-41B8-8732-A21F8A4E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7CFE"/>
    <w:pPr>
      <w:spacing w:after="120" w:line="324" w:lineRule="auto"/>
      <w:jc w:val="both"/>
    </w:pPr>
  </w:style>
  <w:style w:type="paragraph" w:styleId="u1">
    <w:name w:val="heading 1"/>
    <w:basedOn w:val="Binhthng"/>
    <w:next w:val="Binhthng"/>
    <w:link w:val="u1Char"/>
    <w:uiPriority w:val="9"/>
    <w:qFormat/>
    <w:rsid w:val="00EB7C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EB7C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EB7CF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EB7CF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EB7CFE"/>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EB7CFE"/>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B7CFE"/>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B7CFE"/>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B7CFE"/>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B7CFE"/>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EB7CFE"/>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EB7CFE"/>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EB7CFE"/>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EB7CFE"/>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EB7CF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B7CF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B7CF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B7CF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B7CFE"/>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B7CF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B7CF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B7CFE"/>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B7CFE"/>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EB7CFE"/>
    <w:rPr>
      <w:i/>
      <w:iCs/>
      <w:color w:val="404040" w:themeColor="text1" w:themeTint="BF"/>
    </w:rPr>
  </w:style>
  <w:style w:type="paragraph" w:styleId="oancuaDanhsach">
    <w:name w:val="List Paragraph"/>
    <w:basedOn w:val="Binhthng"/>
    <w:uiPriority w:val="34"/>
    <w:qFormat/>
    <w:rsid w:val="00EB7CFE"/>
    <w:pPr>
      <w:ind w:left="720"/>
      <w:contextualSpacing/>
    </w:pPr>
  </w:style>
  <w:style w:type="character" w:styleId="NhnmnhThm">
    <w:name w:val="Intense Emphasis"/>
    <w:basedOn w:val="Phngmcinhcuaoanvn"/>
    <w:uiPriority w:val="21"/>
    <w:qFormat/>
    <w:rsid w:val="00EB7CFE"/>
    <w:rPr>
      <w:i/>
      <w:iCs/>
      <w:color w:val="365F91" w:themeColor="accent1" w:themeShade="BF"/>
    </w:rPr>
  </w:style>
  <w:style w:type="paragraph" w:styleId="Nhaykepm">
    <w:name w:val="Intense Quote"/>
    <w:basedOn w:val="Binhthng"/>
    <w:next w:val="Binhthng"/>
    <w:link w:val="NhaykepmChar"/>
    <w:uiPriority w:val="30"/>
    <w:qFormat/>
    <w:rsid w:val="00EB7C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EB7CFE"/>
    <w:rPr>
      <w:i/>
      <w:iCs/>
      <w:color w:val="365F91" w:themeColor="accent1" w:themeShade="BF"/>
    </w:rPr>
  </w:style>
  <w:style w:type="character" w:styleId="ThamchiuNhnmnh">
    <w:name w:val="Intense Reference"/>
    <w:basedOn w:val="Phngmcinhcuaoanvn"/>
    <w:uiPriority w:val="32"/>
    <w:qFormat/>
    <w:rsid w:val="00EB7CF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M?nh H�</dc:creator>
  <cp:keywords/>
  <dc:description/>
  <cp:lastModifiedBy>Nguy?n M?nh H�</cp:lastModifiedBy>
  <cp:revision>7</cp:revision>
  <dcterms:created xsi:type="dcterms:W3CDTF">2026-05-08T01:30:00Z</dcterms:created>
  <dcterms:modified xsi:type="dcterms:W3CDTF">2026-05-08T01:43:00Z</dcterms:modified>
</cp:coreProperties>
</file>